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0FA596" w14:textId="77777777" w:rsidR="00DB41C4" w:rsidRDefault="00DB41C4">
      <w:pPr>
        <w:spacing w:before="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0"/>
        <w:gridCol w:w="9320"/>
      </w:tblGrid>
      <w:tr w:rsidR="00DB41C4" w14:paraId="00AA23FF" w14:textId="77777777">
        <w:tblPrEx>
          <w:tblCellMar>
            <w:top w:w="0" w:type="dxa"/>
            <w:bottom w:w="0" w:type="dxa"/>
          </w:tblCellMar>
        </w:tblPrEx>
        <w:trPr>
          <w:cantSplit/>
        </w:trPr>
        <w:tc>
          <w:tcPr>
            <w:tcW w:w="76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5504BEC" w14:textId="77777777" w:rsidR="00DB41C4" w:rsidRDefault="00000000">
            <w:r>
              <w:rPr>
                <w:noProof/>
              </w:rPr>
              <w:drawing>
                <wp:inline distT="0" distB="0" distL="0" distR="0" wp14:anchorId="155891FE" wp14:editId="01E57732">
                  <wp:extent cx="419100" cy="419100"/>
                  <wp:effectExtent l="0" t="0" r="0" b="0"/>
                  <wp:docPr id="1" name="logo-mark" descr="GrayPoint Technology compass logo mark" title="GrayPoint Techn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19100" cy="419100"/>
                          </a:xfrm>
                          <a:prstGeom prst="rect">
                            <a:avLst/>
                          </a:prstGeom>
                        </pic:spPr>
                      </pic:pic>
                    </a:graphicData>
                  </a:graphic>
                </wp:inline>
              </w:drawing>
            </w:r>
          </w:p>
        </w:tc>
        <w:tc>
          <w:tcPr>
            <w:tcW w:w="932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247D942C" w14:textId="77777777" w:rsidR="00DB41C4" w:rsidRDefault="00000000">
            <w:proofErr w:type="gramStart"/>
            <w:r>
              <w:rPr>
                <w:b/>
                <w:bCs/>
                <w:sz w:val="30"/>
                <w:szCs w:val="30"/>
              </w:rPr>
              <w:t>GRAY</w:t>
            </w:r>
            <w:r>
              <w:rPr>
                <w:b/>
                <w:bCs/>
                <w:color w:val="3A8A1B"/>
                <w:sz w:val="30"/>
                <w:szCs w:val="30"/>
              </w:rPr>
              <w:t>POINT</w:t>
            </w:r>
            <w:r>
              <w:rPr>
                <w:color w:val="7A7A7A"/>
                <w:sz w:val="20"/>
                <w:szCs w:val="20"/>
              </w:rPr>
              <w:t xml:space="preserve">  TECHNOLOGY</w:t>
            </w:r>
            <w:proofErr w:type="gramEnd"/>
          </w:p>
        </w:tc>
      </w:tr>
    </w:tbl>
    <w:p w14:paraId="1A33901B" w14:textId="77777777" w:rsidR="00DB41C4" w:rsidRDefault="00000000">
      <w:pPr>
        <w:spacing w:before="300" w:after="120"/>
      </w:pPr>
      <w:r>
        <w:rPr>
          <w:b/>
          <w:bCs/>
          <w:sz w:val="52"/>
          <w:szCs w:val="52"/>
        </w:rPr>
        <w:t>AI Vision &amp; Ethics Policy Template</w:t>
      </w:r>
    </w:p>
    <w:p w14:paraId="472C2491" w14:textId="77777777" w:rsidR="00DB41C4" w:rsidRDefault="00000000">
      <w:pPr>
        <w:spacing w:after="400"/>
      </w:pPr>
      <w:r>
        <w:rPr>
          <w:color w:val="555555"/>
          <w:sz w:val="24"/>
          <w:szCs w:val="24"/>
        </w:rPr>
        <w:t>A starter framework executive teams can use to define their AI vision, set ethical guardrails, and build the governance policy that puts it into practice.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DB41C4" w14:paraId="26E76129" w14:textId="77777777">
        <w:tblPrEx>
          <w:tblCellMar>
            <w:top w:w="0" w:type="dxa"/>
            <w:bottom w:w="0" w:type="dxa"/>
          </w:tblCellMar>
        </w:tblPrEx>
        <w:trPr>
          <w:cantSplit/>
        </w:trPr>
        <w:tc>
          <w:tcPr>
            <w:tcW w:w="10080" w:type="dxa"/>
            <w:tcBorders>
              <w:top w:val="single" w:sz="2" w:space="0" w:color="D0D0D0"/>
              <w:left w:val="single" w:sz="18" w:space="0" w:color="4CAF24"/>
              <w:bottom w:val="single" w:sz="2" w:space="0" w:color="D0D0D0"/>
              <w:right w:val="single" w:sz="2" w:space="0" w:color="D0D0D0"/>
            </w:tcBorders>
            <w:shd w:val="clear" w:color="auto" w:fill="E3F2DA"/>
            <w:tcMar>
              <w:top w:w="180" w:type="dxa"/>
              <w:left w:w="220" w:type="dxa"/>
              <w:bottom w:w="180" w:type="dxa"/>
              <w:right w:w="220" w:type="dxa"/>
            </w:tcMar>
          </w:tcPr>
          <w:p w14:paraId="03839BF8" w14:textId="77777777" w:rsidR="00DB41C4" w:rsidRDefault="00000000">
            <w:pPr>
              <w:spacing w:after="80"/>
            </w:pPr>
            <w:r>
              <w:rPr>
                <w:b/>
                <w:bCs/>
                <w:color w:val="3A8A1B"/>
              </w:rPr>
              <w:t>How to use this template</w:t>
            </w:r>
          </w:p>
          <w:p w14:paraId="6B032752" w14:textId="77777777" w:rsidR="00DB41C4" w:rsidRDefault="00000000">
            <w:pPr>
              <w:spacing w:after="40"/>
            </w:pPr>
            <w:r>
              <w:rPr>
                <w:sz w:val="20"/>
                <w:szCs w:val="20"/>
              </w:rPr>
              <w:t xml:space="preserve">This template is a starting point, not a finished policy. Work through </w:t>
            </w:r>
            <w:proofErr w:type="gramStart"/>
            <w:r>
              <w:rPr>
                <w:sz w:val="20"/>
                <w:szCs w:val="20"/>
              </w:rPr>
              <w:t>it</w:t>
            </w:r>
            <w:proofErr w:type="gramEnd"/>
            <w:r>
              <w:rPr>
                <w:sz w:val="20"/>
                <w:szCs w:val="20"/>
              </w:rPr>
              <w:t xml:space="preserve"> section by section with your leadership team, replace every bracketed prompt with your own language, and delete these instructions before distributing the final document.</w:t>
            </w:r>
          </w:p>
          <w:p w14:paraId="730877C3" w14:textId="77777777" w:rsidR="00DB41C4" w:rsidRDefault="00000000">
            <w:r>
              <w:rPr>
                <w:sz w:val="20"/>
                <w:szCs w:val="20"/>
              </w:rPr>
              <w:t xml:space="preserve">It is written for small and mid-sized organizations adopting AI tools internally or client-facing. </w:t>
            </w:r>
            <w:r>
              <w:rPr>
                <w:i/>
                <w:iCs/>
                <w:color w:val="555555"/>
                <w:sz w:val="20"/>
                <w:szCs w:val="20"/>
              </w:rPr>
              <w:t>It does not constitute legal advice — have qualified counsel review your final policy against the laws and regulations that apply to your industry.</w:t>
            </w:r>
          </w:p>
        </w:tc>
      </w:tr>
    </w:tbl>
    <w:p w14:paraId="00226BF0" w14:textId="77777777" w:rsidR="00DB41C4" w:rsidRDefault="00000000">
      <w:pPr>
        <w:pStyle w:val="Heading1"/>
        <w:spacing w:before="400"/>
      </w:pPr>
      <w:r>
        <w:t>1. What Is an AI Vision — and Why It Comes First</w:t>
      </w:r>
    </w:p>
    <w:p w14:paraId="43938E9C" w14:textId="77777777" w:rsidR="00DB41C4" w:rsidRDefault="00000000">
      <w:pPr>
        <w:spacing w:after="160"/>
      </w:pPr>
      <w:r>
        <w:t>An AI vision is a short, plain-language statement of why your organization uses AI, what value it is meant to create, and the standards it will always be held to. It is the "why" that every later rule, guardrail, and approval process traces back to.</w:t>
      </w:r>
    </w:p>
    <w:p w14:paraId="0ED2C7E6" w14:textId="77777777" w:rsidR="00DB41C4" w:rsidRDefault="00000000">
      <w:pPr>
        <w:spacing w:after="160"/>
      </w:pPr>
      <w:r>
        <w:t xml:space="preserve">Without a vision, ethics and policy work becomes a list of restrictions with no shared purpose behind them — hard to explain to staff, harder to apply consistently to a new AI tool nobody anticipated. With a vision in place, every later policy decision becomes a test of fit: </w:t>
      </w:r>
      <w:r>
        <w:rPr>
          <w:i/>
          <w:iCs/>
        </w:rPr>
        <w:t>"Does this use serve the vision, and does it respect the standards we committed to?"</w:t>
      </w:r>
    </w:p>
    <w:p w14:paraId="474B8085" w14:textId="77777777" w:rsidR="00DB41C4" w:rsidRDefault="00000000">
      <w:pPr>
        <w:pStyle w:val="Heading2"/>
      </w:pPr>
      <w:r>
        <w:t>Your AI Vision Statement</w:t>
      </w:r>
    </w:p>
    <w:p w14:paraId="368E5079" w14:textId="77777777" w:rsidR="00DB41C4" w:rsidRDefault="00000000">
      <w:pPr>
        <w:spacing w:before="120" w:after="40"/>
      </w:pPr>
      <w:r>
        <w:rPr>
          <w:b/>
          <w:bCs/>
          <w:sz w:val="21"/>
          <w:szCs w:val="21"/>
        </w:rPr>
        <w:t>Draft your vision (2–4 sentences):</w:t>
      </w:r>
    </w:p>
    <w:p w14:paraId="0CB209DA" w14:textId="77777777" w:rsidR="00DB41C4" w:rsidRPr="00526AF3" w:rsidRDefault="00000000">
      <w:pPr>
        <w:pBdr>
          <w:left w:val="single" w:sz="12" w:space="8" w:color="4CAF24"/>
        </w:pBdr>
        <w:spacing w:after="200"/>
        <w:ind w:left="120"/>
        <w:rPr>
          <w:i/>
          <w:iCs/>
          <w:color w:val="7A7A7A"/>
        </w:rPr>
      </w:pPr>
      <w:r>
        <w:rPr>
          <w:i/>
          <w:iCs/>
          <w:color w:val="7A7A7A"/>
        </w:rPr>
        <w:t>Example starting point: "[Organization] uses AI to help our people work faster and serve clients better — never to replace human judgment on decisions that affect people's rights, safety, finances, or trust in us. Every AI-assisted output is reviewed by a qualified person before it reaches a client, employee, or the public."</w:t>
      </w:r>
    </w:p>
    <w:p w14:paraId="5AAB792E" w14:textId="77777777" w:rsidR="00526AF3" w:rsidRDefault="00526AF3">
      <w:pPr>
        <w:pStyle w:val="Heading1"/>
        <w:spacing w:before="400"/>
      </w:pPr>
    </w:p>
    <w:p w14:paraId="6FFA5412" w14:textId="77777777" w:rsidR="00526AF3" w:rsidRDefault="00526AF3">
      <w:pPr>
        <w:pStyle w:val="Heading1"/>
        <w:spacing w:before="400"/>
      </w:pPr>
    </w:p>
    <w:p w14:paraId="2CBEDE6D" w14:textId="77777777" w:rsidR="00526AF3" w:rsidRDefault="00526AF3">
      <w:pPr>
        <w:pStyle w:val="Heading1"/>
        <w:spacing w:before="400"/>
      </w:pPr>
    </w:p>
    <w:p w14:paraId="7507174A" w14:textId="77777777" w:rsidR="00526AF3" w:rsidRDefault="00526AF3">
      <w:pPr>
        <w:pStyle w:val="Heading1"/>
        <w:spacing w:before="400"/>
      </w:pPr>
    </w:p>
    <w:p w14:paraId="4EE03B10" w14:textId="77777777" w:rsidR="00526AF3" w:rsidRDefault="00526AF3">
      <w:pPr>
        <w:pStyle w:val="Heading1"/>
        <w:spacing w:before="400"/>
      </w:pPr>
    </w:p>
    <w:p w14:paraId="2530A625" w14:textId="2C15796E" w:rsidR="00DB41C4" w:rsidRDefault="00000000">
      <w:pPr>
        <w:pStyle w:val="Heading1"/>
        <w:spacing w:before="400"/>
      </w:pPr>
      <w:r>
        <w:lastRenderedPageBreak/>
        <w:t>2. Guiding Ethical Principles</w:t>
      </w:r>
    </w:p>
    <w:p w14:paraId="5662AAE3" w14:textId="77777777" w:rsidR="00DB41C4" w:rsidRDefault="00000000">
      <w:pPr>
        <w:spacing w:after="160"/>
      </w:pPr>
      <w:r>
        <w:t>Select and adapt the principles that matter most to your organization. Most policies rest on some version of the six below.</w:t>
      </w:r>
    </w:p>
    <w:p w14:paraId="2242B151" w14:textId="77777777" w:rsidR="00DB41C4" w:rsidRDefault="00000000">
      <w:pPr>
        <w:pStyle w:val="ListParagraph"/>
        <w:numPr>
          <w:ilvl w:val="0"/>
          <w:numId w:val="2"/>
        </w:numPr>
        <w:spacing w:after="80"/>
      </w:pPr>
      <w:r>
        <w:t>Human oversight &amp; accountability — a qualified person reviews and remains responsible for AI-assisted outputs before they are acted on or shared externally.</w:t>
      </w:r>
    </w:p>
    <w:p w14:paraId="739924A6" w14:textId="77777777" w:rsidR="00DB41C4" w:rsidRDefault="00000000">
      <w:pPr>
        <w:pStyle w:val="ListParagraph"/>
        <w:numPr>
          <w:ilvl w:val="0"/>
          <w:numId w:val="2"/>
        </w:numPr>
        <w:spacing w:after="80"/>
      </w:pPr>
      <w:r>
        <w:t>Fairness &amp; non-discrimination — AI use is monitored for bias that could disadvantage employees, clients, or applicants.</w:t>
      </w:r>
    </w:p>
    <w:p w14:paraId="551FE54C" w14:textId="77777777" w:rsidR="00DB41C4" w:rsidRDefault="00000000">
      <w:pPr>
        <w:pStyle w:val="ListParagraph"/>
        <w:numPr>
          <w:ilvl w:val="0"/>
          <w:numId w:val="2"/>
        </w:numPr>
        <w:spacing w:after="80"/>
      </w:pPr>
      <w:r>
        <w:t xml:space="preserve">Transparency &amp; explainability — people are told when AI materially shaped a decision or deliverable that affects </w:t>
      </w:r>
      <w:proofErr w:type="gramStart"/>
      <w:r>
        <w:t>them, and</w:t>
      </w:r>
      <w:proofErr w:type="gramEnd"/>
      <w:r>
        <w:t xml:space="preserve"> can ask how.</w:t>
      </w:r>
    </w:p>
    <w:p w14:paraId="43AC6B27" w14:textId="77777777" w:rsidR="00DB41C4" w:rsidRDefault="00000000">
      <w:pPr>
        <w:pStyle w:val="ListParagraph"/>
        <w:numPr>
          <w:ilvl w:val="0"/>
          <w:numId w:val="2"/>
        </w:numPr>
        <w:spacing w:after="80"/>
      </w:pPr>
      <w:r>
        <w:t>Privacy &amp; data minimization — only the data necessary for the task is collected, used, or retained by an AI system.</w:t>
      </w:r>
    </w:p>
    <w:p w14:paraId="48978924" w14:textId="77777777" w:rsidR="00DB41C4" w:rsidRDefault="00000000">
      <w:pPr>
        <w:pStyle w:val="ListParagraph"/>
        <w:numPr>
          <w:ilvl w:val="0"/>
          <w:numId w:val="2"/>
        </w:numPr>
        <w:spacing w:after="80"/>
      </w:pPr>
      <w:r>
        <w:t>Security by design — AI tools and the data they touch are protected with encryption, access controls, and vendor due diligence.</w:t>
      </w:r>
    </w:p>
    <w:p w14:paraId="7874F8F9" w14:textId="77777777" w:rsidR="00DB41C4" w:rsidRDefault="00000000">
      <w:pPr>
        <w:pStyle w:val="ListParagraph"/>
        <w:numPr>
          <w:ilvl w:val="0"/>
          <w:numId w:val="2"/>
        </w:numPr>
        <w:spacing w:after="80"/>
      </w:pPr>
      <w:r>
        <w:t>Reliability &amp; safety — AI outputs are validated before use in decisions with legal, financial, safety, or reputational consequences.</w:t>
      </w:r>
    </w:p>
    <w:p w14:paraId="3A8072ED" w14:textId="77777777" w:rsidR="00DB41C4" w:rsidRDefault="00000000">
      <w:pPr>
        <w:spacing w:before="120" w:after="40"/>
      </w:pPr>
      <w:r>
        <w:rPr>
          <w:b/>
          <w:bCs/>
          <w:sz w:val="21"/>
          <w:szCs w:val="21"/>
        </w:rPr>
        <w:t>Principles we are adding or adapting for our organization:</w:t>
      </w:r>
    </w:p>
    <w:p w14:paraId="6CC5BB59" w14:textId="77777777" w:rsidR="00DB41C4" w:rsidRDefault="00000000">
      <w:pPr>
        <w:pBdr>
          <w:left w:val="single" w:sz="12" w:space="8" w:color="4CAF24"/>
        </w:pBdr>
        <w:spacing w:after="200"/>
        <w:ind w:left="120"/>
      </w:pPr>
      <w:r>
        <w:rPr>
          <w:i/>
          <w:iCs/>
          <w:color w:val="7A7A7A"/>
        </w:rPr>
        <w:t>[List any industry-specific principles — e.g., HIPAA, GLBA, or client-confidentiality commitments unique to your business.]</w:t>
      </w:r>
    </w:p>
    <w:p w14:paraId="426DC738" w14:textId="77777777" w:rsidR="00526AF3" w:rsidRDefault="00526AF3">
      <w:pPr>
        <w:pStyle w:val="Heading1"/>
        <w:spacing w:before="400"/>
      </w:pPr>
    </w:p>
    <w:p w14:paraId="78B12995" w14:textId="558DF7F1" w:rsidR="00DB41C4" w:rsidRDefault="00000000">
      <w:pPr>
        <w:pStyle w:val="Heading1"/>
        <w:spacing w:before="400"/>
      </w:pPr>
      <w:r>
        <w:t>3. Scope &amp; Definitions</w:t>
      </w:r>
    </w:p>
    <w:p w14:paraId="3F953AAE" w14:textId="77777777" w:rsidR="00DB41C4" w:rsidRDefault="00000000">
      <w:pPr>
        <w:spacing w:before="120" w:after="40"/>
      </w:pPr>
      <w:r>
        <w:rPr>
          <w:b/>
          <w:bCs/>
          <w:sz w:val="21"/>
          <w:szCs w:val="21"/>
        </w:rPr>
        <w:t>This policy applies to (check all that apply):</w:t>
      </w:r>
    </w:p>
    <w:p w14:paraId="5AF9014C" w14:textId="77777777" w:rsidR="00DB41C4" w:rsidRDefault="00000000">
      <w:pPr>
        <w:pStyle w:val="ListParagraph"/>
        <w:numPr>
          <w:ilvl w:val="0"/>
          <w:numId w:val="3"/>
        </w:numPr>
        <w:spacing w:after="80"/>
      </w:pPr>
      <w:r>
        <w:t>Generative AI writing/research tools (e.g., ChatGPT, Claude, Gemini, Copilot Chat)</w:t>
      </w:r>
    </w:p>
    <w:p w14:paraId="1DB3A384" w14:textId="77777777" w:rsidR="00DB41C4" w:rsidRDefault="00000000">
      <w:pPr>
        <w:pStyle w:val="ListParagraph"/>
        <w:numPr>
          <w:ilvl w:val="0"/>
          <w:numId w:val="3"/>
        </w:numPr>
        <w:spacing w:after="80"/>
      </w:pPr>
      <w:r>
        <w:t>AI features embedded in existing software (CRM, help desk, Microsoft 365 Copilot, etc.)</w:t>
      </w:r>
    </w:p>
    <w:p w14:paraId="0F94CFCE" w14:textId="77777777" w:rsidR="00DB41C4" w:rsidRDefault="00000000">
      <w:pPr>
        <w:pStyle w:val="ListParagraph"/>
        <w:numPr>
          <w:ilvl w:val="0"/>
          <w:numId w:val="3"/>
        </w:numPr>
        <w:spacing w:after="80"/>
      </w:pPr>
      <w:r>
        <w:t>AI-based automation or autonomous agents</w:t>
      </w:r>
    </w:p>
    <w:p w14:paraId="5AF4C4F0" w14:textId="77777777" w:rsidR="00DB41C4" w:rsidRDefault="00000000">
      <w:pPr>
        <w:pStyle w:val="ListParagraph"/>
        <w:numPr>
          <w:ilvl w:val="0"/>
          <w:numId w:val="3"/>
        </w:numPr>
        <w:spacing w:after="80"/>
      </w:pPr>
      <w:r>
        <w:t>AI used in hiring, performance, or personnel decisions</w:t>
      </w:r>
    </w:p>
    <w:p w14:paraId="7B340061" w14:textId="77777777" w:rsidR="00DB41C4" w:rsidRDefault="00000000">
      <w:pPr>
        <w:pStyle w:val="ListParagraph"/>
        <w:numPr>
          <w:ilvl w:val="0"/>
          <w:numId w:val="3"/>
        </w:numPr>
        <w:spacing w:after="80"/>
      </w:pPr>
      <w:r>
        <w:t>Client-facing AI features or chatbots</w:t>
      </w:r>
    </w:p>
    <w:p w14:paraId="14FF773C" w14:textId="77777777" w:rsidR="00DB41C4" w:rsidRDefault="00000000">
      <w:pPr>
        <w:pStyle w:val="ListParagraph"/>
        <w:numPr>
          <w:ilvl w:val="0"/>
          <w:numId w:val="3"/>
        </w:numPr>
        <w:spacing w:after="80"/>
      </w:pPr>
      <w:r>
        <w:t>AI used in security, fraud detection, or risk scoring</w:t>
      </w:r>
    </w:p>
    <w:p w14:paraId="278E0527" w14:textId="77777777" w:rsidR="00DB41C4" w:rsidRDefault="00000000">
      <w:pPr>
        <w:spacing w:before="120" w:after="40"/>
      </w:pPr>
      <w:r>
        <w:rPr>
          <w:b/>
          <w:bCs/>
          <w:sz w:val="21"/>
          <w:szCs w:val="21"/>
        </w:rPr>
        <w:t>Other (list any additional tools, platforms, or use cases not covered above):</w:t>
      </w:r>
    </w:p>
    <w:p w14:paraId="0E68602B" w14:textId="77777777" w:rsidR="00DB41C4" w:rsidRDefault="00000000">
      <w:pPr>
        <w:pBdr>
          <w:left w:val="single" w:sz="12" w:space="8" w:color="4CAF24"/>
        </w:pBdr>
        <w:spacing w:after="200"/>
        <w:ind w:left="120"/>
      </w:pPr>
      <w:r>
        <w:rPr>
          <w:i/>
          <w:iCs/>
          <w:color w:val="7A7A7A"/>
        </w:rPr>
        <w:t>[Add anything specific to your organization that is not already checked off above.]</w:t>
      </w:r>
    </w:p>
    <w:p w14:paraId="553E1189" w14:textId="77777777" w:rsidR="00DB41C4" w:rsidRDefault="00000000">
      <w:pPr>
        <w:spacing w:before="120" w:after="40"/>
      </w:pPr>
      <w:r>
        <w:rPr>
          <w:b/>
          <w:bCs/>
          <w:sz w:val="21"/>
          <w:szCs w:val="21"/>
        </w:rPr>
        <w:t>This policy does NOT cover (check all that apply):</w:t>
      </w:r>
    </w:p>
    <w:p w14:paraId="49338C49" w14:textId="77777777" w:rsidR="00DB41C4" w:rsidRDefault="00000000">
      <w:pPr>
        <w:pStyle w:val="ListParagraph"/>
        <w:numPr>
          <w:ilvl w:val="0"/>
          <w:numId w:val="3"/>
        </w:numPr>
        <w:spacing w:after="80"/>
      </w:pPr>
      <w:r>
        <w:t>Basic spam filtering or spell-check with no material decision impact</w:t>
      </w:r>
    </w:p>
    <w:p w14:paraId="5999AC5A" w14:textId="77777777" w:rsidR="00DB41C4" w:rsidRDefault="00000000">
      <w:pPr>
        <w:pStyle w:val="ListParagraph"/>
        <w:numPr>
          <w:ilvl w:val="0"/>
          <w:numId w:val="3"/>
        </w:numPr>
        <w:spacing w:after="80"/>
      </w:pPr>
      <w:r>
        <w:t>Built-in productivity features (e.g., autocomplete, grammar suggestions) with no material decision impact</w:t>
      </w:r>
    </w:p>
    <w:p w14:paraId="7775DEBF" w14:textId="77777777" w:rsidR="00DB41C4" w:rsidRDefault="00000000">
      <w:pPr>
        <w:pStyle w:val="ListParagraph"/>
        <w:numPr>
          <w:ilvl w:val="0"/>
          <w:numId w:val="3"/>
        </w:numPr>
        <w:spacing w:after="80"/>
      </w:pPr>
      <w:r>
        <w:t>AI features disclosed and excluded under a separate policy (e.g., a dedicated hiring-AI or security-AI policy)</w:t>
      </w:r>
    </w:p>
    <w:p w14:paraId="7FEF2E5C" w14:textId="77777777" w:rsidR="00DB41C4" w:rsidRDefault="00000000">
      <w:pPr>
        <w:spacing w:before="120" w:after="40"/>
      </w:pPr>
      <w:r>
        <w:rPr>
          <w:b/>
          <w:bCs/>
          <w:sz w:val="21"/>
          <w:szCs w:val="21"/>
        </w:rPr>
        <w:t>Other exclusions (list and explain why they are out of scope):</w:t>
      </w:r>
    </w:p>
    <w:p w14:paraId="15D26BB2" w14:textId="77777777" w:rsidR="00DB41C4" w:rsidRDefault="00000000">
      <w:pPr>
        <w:pBdr>
          <w:left w:val="single" w:sz="12" w:space="8" w:color="4CAF24"/>
        </w:pBdr>
        <w:spacing w:after="200"/>
        <w:ind w:left="120"/>
      </w:pPr>
      <w:r>
        <w:rPr>
          <w:i/>
          <w:iCs/>
          <w:color w:val="7A7A7A"/>
        </w:rPr>
        <w:t>[e.g., basic spam filtering, spell-check, or other AI features with no material decision impact — list your exclusions and why.]</w:t>
      </w:r>
    </w:p>
    <w:p w14:paraId="447A5146" w14:textId="0B46C74E" w:rsidR="00DB41C4" w:rsidRDefault="00000000">
      <w:pPr>
        <w:pStyle w:val="Heading1"/>
        <w:spacing w:before="400"/>
      </w:pPr>
      <w:r>
        <w:lastRenderedPageBreak/>
        <w:t>4. Permitted &amp; Prohibited Uses</w:t>
      </w:r>
    </w:p>
    <w:p w14:paraId="238CBA75" w14:textId="77777777" w:rsidR="00DB41C4" w:rsidRDefault="00000000">
      <w:pPr>
        <w:spacing w:after="160"/>
      </w:pPr>
      <w:r>
        <w:t>Use this table as a working draft — most organizations find it easier to start from prohibited uses, then define what is left as permitted.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DB41C4" w14:paraId="5214EE62"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4CAF24"/>
            <w:tcMar>
              <w:top w:w="80" w:type="dxa"/>
              <w:left w:w="120" w:type="dxa"/>
              <w:bottom w:w="80" w:type="dxa"/>
              <w:right w:w="120" w:type="dxa"/>
            </w:tcMar>
            <w:vAlign w:val="center"/>
          </w:tcPr>
          <w:p w14:paraId="68D9CDAE" w14:textId="77777777" w:rsidR="00DB41C4" w:rsidRDefault="00000000">
            <w:r>
              <w:rPr>
                <w:b/>
                <w:bCs/>
                <w:color w:val="FFFFFF"/>
                <w:sz w:val="20"/>
                <w:szCs w:val="20"/>
              </w:rPr>
              <w:t>Permitted Uses</w:t>
            </w:r>
          </w:p>
        </w:tc>
        <w:tc>
          <w:tcPr>
            <w:tcW w:w="5040" w:type="dxa"/>
            <w:tcBorders>
              <w:top w:val="single" w:sz="2" w:space="0" w:color="D0D0D0"/>
              <w:left w:val="single" w:sz="2" w:space="0" w:color="D0D0D0"/>
              <w:bottom w:val="single" w:sz="2" w:space="0" w:color="D0D0D0"/>
              <w:right w:val="single" w:sz="2" w:space="0" w:color="D0D0D0"/>
            </w:tcBorders>
            <w:shd w:val="clear" w:color="auto" w:fill="4CAF24"/>
            <w:tcMar>
              <w:top w:w="80" w:type="dxa"/>
              <w:left w:w="120" w:type="dxa"/>
              <w:bottom w:w="80" w:type="dxa"/>
              <w:right w:w="120" w:type="dxa"/>
            </w:tcMar>
            <w:vAlign w:val="center"/>
          </w:tcPr>
          <w:p w14:paraId="06B46860" w14:textId="77777777" w:rsidR="00DB41C4" w:rsidRDefault="00000000">
            <w:r>
              <w:rPr>
                <w:b/>
                <w:bCs/>
                <w:color w:val="FFFFFF"/>
                <w:sz w:val="20"/>
                <w:szCs w:val="20"/>
              </w:rPr>
              <w:t>Prohibited Uses</w:t>
            </w:r>
          </w:p>
        </w:tc>
      </w:tr>
      <w:tr w:rsidR="00DB41C4" w14:paraId="7C44EEBF"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080A18B2" w14:textId="77777777" w:rsidR="00DB41C4" w:rsidRDefault="00000000">
            <w:r>
              <w:rPr>
                <w:i/>
                <w:iCs/>
                <w:color w:val="7A7A7A"/>
              </w:rPr>
              <w:t>[e.g., drafting internal documents for human review]</w:t>
            </w:r>
          </w:p>
        </w:tc>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06621825" w14:textId="77777777" w:rsidR="00DB41C4" w:rsidRDefault="00000000">
            <w:r>
              <w:rPr>
                <w:i/>
                <w:iCs/>
                <w:color w:val="7A7A7A"/>
              </w:rPr>
              <w:t>[e.g., final hiring, credit, or termination decisions made by AI alone]</w:t>
            </w:r>
          </w:p>
        </w:tc>
      </w:tr>
      <w:tr w:rsidR="00DB41C4" w14:paraId="44A36009"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7B881523" w14:textId="77777777" w:rsidR="00DB41C4" w:rsidRDefault="00000000">
            <w:r>
              <w:rPr>
                <w:i/>
                <w:iCs/>
                <w:color w:val="7A7A7A"/>
              </w:rPr>
              <w:t>[e.g., summarizing public research or filings]</w:t>
            </w:r>
          </w:p>
        </w:tc>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2E9FD461" w14:textId="77777777" w:rsidR="00DB41C4" w:rsidRDefault="00000000">
            <w:r>
              <w:rPr>
                <w:i/>
                <w:iCs/>
                <w:color w:val="7A7A7A"/>
              </w:rPr>
              <w:t>[e.g., entering client PII/PHI into non-approved public AI tools]</w:t>
            </w:r>
          </w:p>
        </w:tc>
      </w:tr>
      <w:tr w:rsidR="00DB41C4" w14:paraId="055C6BEF"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F7F7F7"/>
            <w:tcMar>
              <w:top w:w="80" w:type="dxa"/>
              <w:left w:w="120" w:type="dxa"/>
              <w:bottom w:w="80" w:type="dxa"/>
              <w:right w:w="120" w:type="dxa"/>
            </w:tcMar>
            <w:vAlign w:val="center"/>
          </w:tcPr>
          <w:p w14:paraId="4AA80818" w14:textId="77777777" w:rsidR="00DB41C4" w:rsidRDefault="00000000">
            <w:r>
              <w:rPr>
                <w:i/>
                <w:iCs/>
                <w:color w:val="7A7A7A"/>
              </w:rPr>
              <w:t>[Add your own row]</w:t>
            </w:r>
          </w:p>
        </w:tc>
        <w:tc>
          <w:tcPr>
            <w:tcW w:w="5040" w:type="dxa"/>
            <w:tcBorders>
              <w:top w:val="single" w:sz="2" w:space="0" w:color="D0D0D0"/>
              <w:left w:val="single" w:sz="2" w:space="0" w:color="D0D0D0"/>
              <w:bottom w:val="single" w:sz="2" w:space="0" w:color="D0D0D0"/>
              <w:right w:val="single" w:sz="2" w:space="0" w:color="D0D0D0"/>
            </w:tcBorders>
            <w:shd w:val="clear" w:color="auto" w:fill="F7F7F7"/>
            <w:tcMar>
              <w:top w:w="80" w:type="dxa"/>
              <w:left w:w="120" w:type="dxa"/>
              <w:bottom w:w="80" w:type="dxa"/>
              <w:right w:w="120" w:type="dxa"/>
            </w:tcMar>
            <w:vAlign w:val="center"/>
          </w:tcPr>
          <w:p w14:paraId="2B4B5DDB" w14:textId="77777777" w:rsidR="00DB41C4" w:rsidRDefault="00000000">
            <w:r>
              <w:rPr>
                <w:i/>
                <w:iCs/>
                <w:color w:val="7A7A7A"/>
              </w:rPr>
              <w:t>[Add your own row]</w:t>
            </w:r>
          </w:p>
        </w:tc>
      </w:tr>
    </w:tbl>
    <w:p w14:paraId="45A56D57" w14:textId="479BC7DE" w:rsidR="00DB41C4" w:rsidRDefault="00000000">
      <w:pPr>
        <w:pStyle w:val="Heading1"/>
        <w:spacing w:before="400"/>
      </w:pPr>
      <w:r>
        <w:t>5. Data Governance &amp; Privacy Commitments</w:t>
      </w:r>
    </w:p>
    <w:p w14:paraId="76608150" w14:textId="77777777" w:rsidR="00DB41C4" w:rsidRDefault="00000000">
      <w:pPr>
        <w:pStyle w:val="ListParagraph"/>
        <w:numPr>
          <w:ilvl w:val="0"/>
          <w:numId w:val="2"/>
        </w:numPr>
        <w:spacing w:after="80"/>
      </w:pPr>
      <w:r>
        <w:t>Data minimization — collect and submit only what is necessary for the specific AI task.</w:t>
      </w:r>
    </w:p>
    <w:p w14:paraId="6F4DCAAD" w14:textId="77777777" w:rsidR="00DB41C4" w:rsidRDefault="00000000">
      <w:pPr>
        <w:pStyle w:val="ListParagraph"/>
        <w:numPr>
          <w:ilvl w:val="0"/>
          <w:numId w:val="2"/>
        </w:numPr>
        <w:spacing w:after="80"/>
      </w:pPr>
      <w:r>
        <w:t>Encryption — data is encrypted in transit (TLS 1.2+) and at rest wherever it is processed or stored.</w:t>
      </w:r>
    </w:p>
    <w:p w14:paraId="16654F5A" w14:textId="77777777" w:rsidR="00DB41C4" w:rsidRDefault="00000000">
      <w:pPr>
        <w:pStyle w:val="ListParagraph"/>
        <w:numPr>
          <w:ilvl w:val="0"/>
          <w:numId w:val="2"/>
        </w:numPr>
        <w:spacing w:after="80"/>
      </w:pPr>
      <w:r>
        <w:t>Retention limits — AI inputs/outputs are retained for a defined period, then deleted or reviewed (commonly 30–90 days for working data).</w:t>
      </w:r>
    </w:p>
    <w:p w14:paraId="47A1F6F4" w14:textId="77777777" w:rsidR="00DB41C4" w:rsidRDefault="00000000">
      <w:pPr>
        <w:pStyle w:val="ListParagraph"/>
        <w:numPr>
          <w:ilvl w:val="0"/>
          <w:numId w:val="2"/>
        </w:numPr>
        <w:spacing w:after="80"/>
      </w:pPr>
      <w:r>
        <w:t>Data subject rights — a process exists for individuals to ask what data was used and request correction or deletion where applicable.</w:t>
      </w:r>
    </w:p>
    <w:p w14:paraId="2B8BBE84" w14:textId="77777777" w:rsidR="00DB41C4" w:rsidRDefault="00000000">
      <w:pPr>
        <w:spacing w:before="120" w:after="40"/>
      </w:pPr>
      <w:r>
        <w:rPr>
          <w:b/>
          <w:bCs/>
          <w:sz w:val="21"/>
          <w:szCs w:val="21"/>
        </w:rPr>
        <w:t>Our retention period for AI-related data is:</w:t>
      </w:r>
    </w:p>
    <w:p w14:paraId="2B18998F" w14:textId="77777777" w:rsidR="00DB41C4" w:rsidRDefault="00000000">
      <w:pPr>
        <w:pBdr>
          <w:left w:val="single" w:sz="12" w:space="8" w:color="4CAF24"/>
        </w:pBdr>
        <w:spacing w:after="200"/>
        <w:ind w:left="120"/>
      </w:pPr>
      <w:r>
        <w:rPr>
          <w:i/>
          <w:iCs/>
          <w:color w:val="7A7A7A"/>
        </w:rPr>
        <w:t>[e.g., 30 days for transient working data, unless preserved in an approved business record.]</w:t>
      </w:r>
    </w:p>
    <w:p w14:paraId="69C7C0FD" w14:textId="77777777" w:rsidR="00DB41C4" w:rsidRDefault="00000000">
      <w:pPr>
        <w:spacing w:before="120" w:after="40"/>
      </w:pPr>
      <w:r>
        <w:rPr>
          <w:b/>
          <w:bCs/>
          <w:sz w:val="21"/>
          <w:szCs w:val="21"/>
        </w:rPr>
        <w:t>Approved AI tools/vendors for handling sensitive data:</w:t>
      </w:r>
    </w:p>
    <w:p w14:paraId="098ED55B" w14:textId="22FAEFED" w:rsidR="00526AF3" w:rsidRDefault="00000000" w:rsidP="00526AF3">
      <w:pPr>
        <w:pBdr>
          <w:left w:val="single" w:sz="12" w:space="8" w:color="4CAF24"/>
        </w:pBdr>
        <w:spacing w:after="200"/>
        <w:ind w:left="120"/>
        <w:rPr>
          <w:i/>
          <w:iCs/>
          <w:color w:val="7A7A7A"/>
        </w:rPr>
      </w:pPr>
      <w:r>
        <w:rPr>
          <w:i/>
          <w:iCs/>
          <w:color w:val="7A7A7A"/>
        </w:rPr>
        <w:t>[List the specific tools your organization has vetted and approved — everything else is prohibited by default.]</w:t>
      </w:r>
    </w:p>
    <w:p w14:paraId="2EF03393" w14:textId="77777777" w:rsidR="00526AF3" w:rsidRPr="00526AF3" w:rsidRDefault="00526AF3" w:rsidP="00526AF3">
      <w:pPr>
        <w:pBdr>
          <w:left w:val="single" w:sz="12" w:space="8" w:color="4CAF24"/>
        </w:pBdr>
        <w:spacing w:after="200"/>
        <w:ind w:left="120"/>
        <w:rPr>
          <w:i/>
          <w:iCs/>
          <w:color w:val="7A7A7A"/>
        </w:rPr>
      </w:pPr>
    </w:p>
    <w:p w14:paraId="4E6C940A" w14:textId="6A3B8CA0" w:rsidR="00DB41C4" w:rsidRDefault="00000000">
      <w:pPr>
        <w:pStyle w:val="Heading1"/>
        <w:spacing w:before="400"/>
      </w:pPr>
      <w:r>
        <w:t>6. Human Oversight &amp; Accountability</w:t>
      </w:r>
    </w:p>
    <w:p w14:paraId="36782052" w14:textId="77777777" w:rsidR="00DB41C4" w:rsidRDefault="00000000">
      <w:pPr>
        <w:spacing w:after="160"/>
      </w:pPr>
      <w:r>
        <w:t>Define who is accountable for reviewing AI-assisted work before it leaves the building — this is the single most important control in most AI policies.</w:t>
      </w:r>
    </w:p>
    <w:p w14:paraId="397CB7B7" w14:textId="77777777" w:rsidR="00DB41C4" w:rsidRDefault="00000000">
      <w:pPr>
        <w:spacing w:before="120" w:after="40"/>
      </w:pPr>
      <w:r>
        <w:rPr>
          <w:b/>
          <w:bCs/>
          <w:sz w:val="21"/>
          <w:szCs w:val="21"/>
        </w:rPr>
        <w:t>Our review requirement:</w:t>
      </w:r>
    </w:p>
    <w:p w14:paraId="00A0BDBA" w14:textId="77777777" w:rsidR="00DB41C4" w:rsidRDefault="00000000">
      <w:pPr>
        <w:pBdr>
          <w:left w:val="single" w:sz="12" w:space="8" w:color="4CAF24"/>
        </w:pBdr>
        <w:spacing w:after="200"/>
        <w:ind w:left="120"/>
      </w:pPr>
      <w:r>
        <w:rPr>
          <w:i/>
          <w:iCs/>
          <w:color w:val="7A7A7A"/>
        </w:rPr>
        <w:t>[e.g., "No AI-generated output is sent to a client, published publicly, or used in a personnel/financial decision without review and sign-off from a qualified employee."]</w:t>
      </w:r>
    </w:p>
    <w:p w14:paraId="319B3EAB" w14:textId="77777777" w:rsidR="00DB41C4" w:rsidRDefault="00000000">
      <w:pPr>
        <w:spacing w:before="120" w:after="40"/>
      </w:pPr>
      <w:r>
        <w:rPr>
          <w:b/>
          <w:bCs/>
          <w:sz w:val="21"/>
          <w:szCs w:val="21"/>
        </w:rPr>
        <w:t>Escalation path if something looks wrong:</w:t>
      </w:r>
    </w:p>
    <w:p w14:paraId="4BB92F92" w14:textId="694DD6EF" w:rsidR="00526AF3" w:rsidRDefault="00000000" w:rsidP="00526AF3">
      <w:pPr>
        <w:pBdr>
          <w:left w:val="single" w:sz="12" w:space="8" w:color="4CAF24"/>
        </w:pBdr>
        <w:spacing w:after="200"/>
        <w:ind w:left="120"/>
        <w:rPr>
          <w:i/>
          <w:iCs/>
          <w:color w:val="7A7A7A"/>
        </w:rPr>
      </w:pPr>
      <w:r>
        <w:rPr>
          <w:i/>
          <w:iCs/>
          <w:color w:val="7A7A7A"/>
        </w:rPr>
        <w:t>[Name the role/person staff should notify, and what happens next.]</w:t>
      </w:r>
    </w:p>
    <w:p w14:paraId="6002743B" w14:textId="77777777" w:rsidR="00526AF3" w:rsidRDefault="00526AF3" w:rsidP="00526AF3">
      <w:pPr>
        <w:pBdr>
          <w:left w:val="single" w:sz="12" w:space="8" w:color="4CAF24"/>
        </w:pBdr>
        <w:spacing w:after="200"/>
        <w:ind w:left="120"/>
        <w:rPr>
          <w:i/>
          <w:iCs/>
          <w:color w:val="7A7A7A"/>
        </w:rPr>
      </w:pPr>
    </w:p>
    <w:p w14:paraId="204745CF" w14:textId="77777777" w:rsidR="00526AF3" w:rsidRDefault="00526AF3">
      <w:pPr>
        <w:pStyle w:val="Heading1"/>
        <w:spacing w:before="400"/>
      </w:pPr>
    </w:p>
    <w:p w14:paraId="1C909602" w14:textId="77777777" w:rsidR="00526AF3" w:rsidRDefault="00526AF3">
      <w:pPr>
        <w:pStyle w:val="Heading1"/>
        <w:spacing w:before="400"/>
      </w:pPr>
    </w:p>
    <w:p w14:paraId="00A013F9" w14:textId="320FB95F" w:rsidR="00DB41C4" w:rsidRDefault="00000000">
      <w:pPr>
        <w:pStyle w:val="Heading1"/>
        <w:spacing w:before="400"/>
      </w:pPr>
      <w:r>
        <w:lastRenderedPageBreak/>
        <w:t>7. Third-Party &amp; Vendor AI Oversight</w:t>
      </w:r>
    </w:p>
    <w:p w14:paraId="182AFB15" w14:textId="77777777" w:rsidR="00DB41C4" w:rsidRDefault="00000000">
      <w:pPr>
        <w:spacing w:after="160"/>
      </w:pPr>
      <w:r>
        <w:t>Apply this checklist before adopting any new AI vendor, platform, or embedded AI feature.</w:t>
      </w:r>
    </w:p>
    <w:p w14:paraId="43EF18A1" w14:textId="77777777" w:rsidR="00DB41C4" w:rsidRDefault="00000000">
      <w:pPr>
        <w:pStyle w:val="ListParagraph"/>
        <w:numPr>
          <w:ilvl w:val="0"/>
          <w:numId w:val="2"/>
        </w:numPr>
        <w:spacing w:after="80"/>
      </w:pPr>
      <w:r>
        <w:t>Vendor security and privacy practices reviewed (SOC 2, security questionnaire, or equivalent).</w:t>
      </w:r>
    </w:p>
    <w:p w14:paraId="4690A477" w14:textId="77777777" w:rsidR="00DB41C4" w:rsidRDefault="00000000">
      <w:pPr>
        <w:pStyle w:val="ListParagraph"/>
        <w:numPr>
          <w:ilvl w:val="0"/>
          <w:numId w:val="2"/>
        </w:numPr>
        <w:spacing w:after="80"/>
      </w:pPr>
      <w:r>
        <w:t>Data processing terms reviewed — what the vendor can retain, use for model training, or share.</w:t>
      </w:r>
    </w:p>
    <w:p w14:paraId="36024A1D" w14:textId="77777777" w:rsidR="00DB41C4" w:rsidRDefault="00000000">
      <w:pPr>
        <w:pStyle w:val="ListParagraph"/>
        <w:numPr>
          <w:ilvl w:val="0"/>
          <w:numId w:val="2"/>
        </w:numPr>
        <w:spacing w:after="80"/>
      </w:pPr>
      <w:r>
        <w:t>Incident notification and breach-response terms confirmed in writing.</w:t>
      </w:r>
    </w:p>
    <w:p w14:paraId="10E20F0F" w14:textId="77777777" w:rsidR="00DB41C4" w:rsidRDefault="00000000">
      <w:pPr>
        <w:pStyle w:val="ListParagraph"/>
        <w:numPr>
          <w:ilvl w:val="0"/>
          <w:numId w:val="2"/>
        </w:numPr>
        <w:spacing w:after="80"/>
      </w:pPr>
      <w:r>
        <w:t>Re-assessment scheduled for higher-risk vendors (e.g., annually, or on contract renewal).</w:t>
      </w:r>
    </w:p>
    <w:p w14:paraId="4B6861BB" w14:textId="77777777" w:rsidR="00DB41C4" w:rsidRDefault="00000000">
      <w:pPr>
        <w:spacing w:before="120" w:after="40"/>
      </w:pPr>
      <w:r>
        <w:rPr>
          <w:b/>
          <w:bCs/>
          <w:sz w:val="21"/>
          <w:szCs w:val="21"/>
        </w:rPr>
        <w:t>Vendor review owner:</w:t>
      </w:r>
    </w:p>
    <w:p w14:paraId="7E7A0E02" w14:textId="77777777" w:rsidR="00DB41C4" w:rsidRDefault="00000000">
      <w:pPr>
        <w:pBdr>
          <w:left w:val="single" w:sz="12" w:space="8" w:color="4CAF24"/>
        </w:pBdr>
        <w:spacing w:after="200"/>
        <w:ind w:left="120"/>
        <w:rPr>
          <w:i/>
          <w:iCs/>
          <w:color w:val="7A7A7A"/>
        </w:rPr>
      </w:pPr>
      <w:r>
        <w:rPr>
          <w:i/>
          <w:iCs/>
          <w:color w:val="7A7A7A"/>
        </w:rPr>
        <w:t>[Name/role responsible for vendor due diligence before a new AI tool is approved for use.]</w:t>
      </w:r>
    </w:p>
    <w:p w14:paraId="73CF1A06" w14:textId="77777777" w:rsidR="00526AF3" w:rsidRDefault="00526AF3">
      <w:pPr>
        <w:pBdr>
          <w:left w:val="single" w:sz="12" w:space="8" w:color="4CAF24"/>
        </w:pBdr>
        <w:spacing w:after="200"/>
        <w:ind w:left="120"/>
      </w:pPr>
    </w:p>
    <w:p w14:paraId="2B786315" w14:textId="77777777" w:rsidR="00DB41C4" w:rsidRDefault="00000000">
      <w:pPr>
        <w:pStyle w:val="Heading1"/>
        <w:spacing w:before="400"/>
      </w:pPr>
      <w:r>
        <w:t>8. Roles &amp; Responsibilities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28"/>
        <w:gridCol w:w="6552"/>
      </w:tblGrid>
      <w:tr w:rsidR="00DB41C4" w14:paraId="63DA248B" w14:textId="77777777">
        <w:tblPrEx>
          <w:tblCellMar>
            <w:top w:w="0" w:type="dxa"/>
            <w:bottom w:w="0" w:type="dxa"/>
          </w:tblCellMar>
        </w:tblPrEx>
        <w:trPr>
          <w:cantSplit/>
        </w:trPr>
        <w:tc>
          <w:tcPr>
            <w:tcW w:w="3528" w:type="dxa"/>
            <w:tcBorders>
              <w:top w:val="single" w:sz="2" w:space="0" w:color="D0D0D0"/>
              <w:left w:val="single" w:sz="2" w:space="0" w:color="D0D0D0"/>
              <w:bottom w:val="single" w:sz="2" w:space="0" w:color="D0D0D0"/>
              <w:right w:val="single" w:sz="2" w:space="0" w:color="D0D0D0"/>
            </w:tcBorders>
            <w:shd w:val="clear" w:color="auto" w:fill="4CAF24"/>
            <w:tcMar>
              <w:top w:w="80" w:type="dxa"/>
              <w:left w:w="120" w:type="dxa"/>
              <w:bottom w:w="80" w:type="dxa"/>
              <w:right w:w="120" w:type="dxa"/>
            </w:tcMar>
            <w:vAlign w:val="center"/>
          </w:tcPr>
          <w:p w14:paraId="447DD5F3" w14:textId="77777777" w:rsidR="00DB41C4" w:rsidRDefault="00000000">
            <w:r>
              <w:rPr>
                <w:b/>
                <w:bCs/>
                <w:color w:val="FFFFFF"/>
                <w:sz w:val="20"/>
                <w:szCs w:val="20"/>
              </w:rPr>
              <w:t>Role</w:t>
            </w:r>
          </w:p>
        </w:tc>
        <w:tc>
          <w:tcPr>
            <w:tcW w:w="6552" w:type="dxa"/>
            <w:tcBorders>
              <w:top w:val="single" w:sz="2" w:space="0" w:color="D0D0D0"/>
              <w:left w:val="single" w:sz="2" w:space="0" w:color="D0D0D0"/>
              <w:bottom w:val="single" w:sz="2" w:space="0" w:color="D0D0D0"/>
              <w:right w:val="single" w:sz="2" w:space="0" w:color="D0D0D0"/>
            </w:tcBorders>
            <w:shd w:val="clear" w:color="auto" w:fill="4CAF24"/>
            <w:tcMar>
              <w:top w:w="80" w:type="dxa"/>
              <w:left w:w="120" w:type="dxa"/>
              <w:bottom w:w="80" w:type="dxa"/>
              <w:right w:w="120" w:type="dxa"/>
            </w:tcMar>
            <w:vAlign w:val="center"/>
          </w:tcPr>
          <w:p w14:paraId="2A85A365" w14:textId="77777777" w:rsidR="00DB41C4" w:rsidRDefault="00000000">
            <w:r>
              <w:rPr>
                <w:b/>
                <w:bCs/>
                <w:color w:val="FFFFFF"/>
                <w:sz w:val="20"/>
                <w:szCs w:val="20"/>
              </w:rPr>
              <w:t>Responsibility</w:t>
            </w:r>
          </w:p>
        </w:tc>
      </w:tr>
      <w:tr w:rsidR="00DB41C4" w14:paraId="072BD4B5" w14:textId="77777777">
        <w:tblPrEx>
          <w:tblCellMar>
            <w:top w:w="0" w:type="dxa"/>
            <w:bottom w:w="0" w:type="dxa"/>
          </w:tblCellMar>
        </w:tblPrEx>
        <w:trPr>
          <w:cantSplit/>
        </w:trPr>
        <w:tc>
          <w:tcPr>
            <w:tcW w:w="3528"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42B8D3F2" w14:textId="77777777" w:rsidR="00DB41C4" w:rsidRDefault="00000000">
            <w:r>
              <w:rPr>
                <w:sz w:val="20"/>
                <w:szCs w:val="20"/>
              </w:rPr>
              <w:t>Executive Sponsor</w:t>
            </w:r>
          </w:p>
        </w:tc>
        <w:tc>
          <w:tcPr>
            <w:tcW w:w="6552"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47A7B086" w14:textId="77777777" w:rsidR="00DB41C4" w:rsidRDefault="00000000">
            <w:r>
              <w:rPr>
                <w:i/>
                <w:iCs/>
                <w:color w:val="7A7A7A"/>
              </w:rPr>
              <w:t>[e.g., owns the AI vision, approves policy changes]</w:t>
            </w:r>
          </w:p>
        </w:tc>
      </w:tr>
      <w:tr w:rsidR="00DB41C4" w14:paraId="337271A3" w14:textId="77777777">
        <w:tblPrEx>
          <w:tblCellMar>
            <w:top w:w="0" w:type="dxa"/>
            <w:bottom w:w="0" w:type="dxa"/>
          </w:tblCellMar>
        </w:tblPrEx>
        <w:trPr>
          <w:cantSplit/>
        </w:trPr>
        <w:tc>
          <w:tcPr>
            <w:tcW w:w="3528"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378BD6EE" w14:textId="77777777" w:rsidR="00DB41C4" w:rsidRDefault="00000000">
            <w:r>
              <w:rPr>
                <w:sz w:val="20"/>
                <w:szCs w:val="20"/>
              </w:rPr>
              <w:t>AI/IT Governance Owner</w:t>
            </w:r>
          </w:p>
        </w:tc>
        <w:tc>
          <w:tcPr>
            <w:tcW w:w="6552"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0AC144A0" w14:textId="77777777" w:rsidR="00DB41C4" w:rsidRDefault="00000000">
            <w:r>
              <w:rPr>
                <w:i/>
                <w:iCs/>
                <w:color w:val="7A7A7A"/>
              </w:rPr>
              <w:t>[e.g., maintains the approved-tool list, coordinates vendor reviews]</w:t>
            </w:r>
          </w:p>
        </w:tc>
      </w:tr>
      <w:tr w:rsidR="00DB41C4" w14:paraId="1F627F01" w14:textId="77777777">
        <w:tblPrEx>
          <w:tblCellMar>
            <w:top w:w="0" w:type="dxa"/>
            <w:bottom w:w="0" w:type="dxa"/>
          </w:tblCellMar>
        </w:tblPrEx>
        <w:trPr>
          <w:cantSplit/>
        </w:trPr>
        <w:tc>
          <w:tcPr>
            <w:tcW w:w="3528"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487E46F1" w14:textId="77777777" w:rsidR="00DB41C4" w:rsidRDefault="00000000">
            <w:r>
              <w:rPr>
                <w:sz w:val="20"/>
                <w:szCs w:val="20"/>
              </w:rPr>
              <w:t>All Employees</w:t>
            </w:r>
          </w:p>
        </w:tc>
        <w:tc>
          <w:tcPr>
            <w:tcW w:w="6552"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2F746564" w14:textId="77777777" w:rsidR="00DB41C4" w:rsidRDefault="00000000">
            <w:r>
              <w:rPr>
                <w:i/>
                <w:iCs/>
                <w:color w:val="7A7A7A"/>
              </w:rPr>
              <w:t>[e.g., follow permitted-use rules, escalate concerns, complete required training]</w:t>
            </w:r>
          </w:p>
        </w:tc>
      </w:tr>
    </w:tbl>
    <w:p w14:paraId="20AEFC64" w14:textId="77777777" w:rsidR="00DB41C4" w:rsidRDefault="00000000">
      <w:pPr>
        <w:pStyle w:val="Heading1"/>
        <w:spacing w:before="400"/>
      </w:pPr>
      <w:r>
        <w:t>9. Review &amp; Update Cadence</w:t>
      </w:r>
    </w:p>
    <w:p w14:paraId="7415568D" w14:textId="77777777" w:rsidR="00DB41C4" w:rsidRDefault="00000000">
      <w:pPr>
        <w:spacing w:before="120" w:after="40"/>
      </w:pPr>
      <w:r>
        <w:rPr>
          <w:b/>
          <w:bCs/>
          <w:sz w:val="21"/>
          <w:szCs w:val="21"/>
        </w:rPr>
        <w:t>This policy will be reviewed:</w:t>
      </w:r>
    </w:p>
    <w:p w14:paraId="71A65156" w14:textId="77777777" w:rsidR="00DB41C4" w:rsidRDefault="00000000">
      <w:pPr>
        <w:pBdr>
          <w:left w:val="single" w:sz="12" w:space="8" w:color="4CAF24"/>
        </w:pBdr>
        <w:spacing w:after="200"/>
        <w:ind w:left="120"/>
      </w:pPr>
      <w:r>
        <w:rPr>
          <w:i/>
          <w:iCs/>
          <w:color w:val="7A7A7A"/>
        </w:rPr>
        <w:t>[e.g., "At least annually, and any time we adopt a new AI tool, change vendors, or a relevant law or regulation changes."]</w:t>
      </w:r>
    </w:p>
    <w:p w14:paraId="148B42A9" w14:textId="77777777" w:rsidR="00DB41C4" w:rsidRDefault="00000000">
      <w:pPr>
        <w:pStyle w:val="Heading1"/>
        <w:spacing w:before="400"/>
      </w:pPr>
      <w:r>
        <w:t>10. Approval &amp; Sign-Off</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40"/>
        <w:gridCol w:w="5040"/>
      </w:tblGrid>
      <w:tr w:rsidR="00DB41C4" w14:paraId="4921A268"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F7F7F7"/>
            <w:tcMar>
              <w:top w:w="80" w:type="dxa"/>
              <w:left w:w="120" w:type="dxa"/>
              <w:bottom w:w="80" w:type="dxa"/>
              <w:right w:w="120" w:type="dxa"/>
            </w:tcMar>
            <w:vAlign w:val="center"/>
          </w:tcPr>
          <w:p w14:paraId="3D890EF5" w14:textId="77777777" w:rsidR="00DB41C4" w:rsidRDefault="00000000">
            <w:r>
              <w:rPr>
                <w:i/>
                <w:iCs/>
                <w:color w:val="7A7A7A"/>
              </w:rPr>
              <w:t>Name / Title</w:t>
            </w:r>
          </w:p>
        </w:tc>
        <w:tc>
          <w:tcPr>
            <w:tcW w:w="5040" w:type="dxa"/>
            <w:tcBorders>
              <w:top w:val="single" w:sz="2" w:space="0" w:color="D0D0D0"/>
              <w:left w:val="single" w:sz="2" w:space="0" w:color="D0D0D0"/>
              <w:bottom w:val="single" w:sz="2" w:space="0" w:color="D0D0D0"/>
              <w:right w:val="single" w:sz="2" w:space="0" w:color="D0D0D0"/>
            </w:tcBorders>
            <w:shd w:val="clear" w:color="auto" w:fill="F7F7F7"/>
            <w:tcMar>
              <w:top w:w="80" w:type="dxa"/>
              <w:left w:w="120" w:type="dxa"/>
              <w:bottom w:w="80" w:type="dxa"/>
              <w:right w:w="120" w:type="dxa"/>
            </w:tcMar>
            <w:vAlign w:val="center"/>
          </w:tcPr>
          <w:p w14:paraId="4E0FA45F" w14:textId="77777777" w:rsidR="00DB41C4" w:rsidRDefault="00000000">
            <w:r>
              <w:rPr>
                <w:i/>
                <w:iCs/>
                <w:color w:val="7A7A7A"/>
              </w:rPr>
              <w:t>Date</w:t>
            </w:r>
          </w:p>
        </w:tc>
      </w:tr>
      <w:tr w:rsidR="00DB41C4" w14:paraId="5380A9DD"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2A605E14" w14:textId="77777777" w:rsidR="00DB41C4" w:rsidRDefault="00000000">
            <w:r>
              <w:rPr>
                <w:sz w:val="20"/>
                <w:szCs w:val="20"/>
              </w:rPr>
              <w:t xml:space="preserve"> </w:t>
            </w:r>
          </w:p>
        </w:tc>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4E05E721" w14:textId="77777777" w:rsidR="00DB41C4" w:rsidRDefault="00000000">
            <w:r>
              <w:rPr>
                <w:sz w:val="20"/>
                <w:szCs w:val="20"/>
              </w:rPr>
              <w:t xml:space="preserve"> </w:t>
            </w:r>
          </w:p>
        </w:tc>
      </w:tr>
      <w:tr w:rsidR="00DB41C4" w14:paraId="6CB03AA9" w14:textId="77777777">
        <w:tblPrEx>
          <w:tblCellMar>
            <w:top w:w="0" w:type="dxa"/>
            <w:bottom w:w="0" w:type="dxa"/>
          </w:tblCellMar>
        </w:tblPrEx>
        <w:trPr>
          <w:cantSplit/>
        </w:trPr>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0A016B11" w14:textId="77777777" w:rsidR="00DB41C4" w:rsidRDefault="00000000">
            <w:r>
              <w:rPr>
                <w:sz w:val="20"/>
                <w:szCs w:val="20"/>
              </w:rPr>
              <w:t xml:space="preserve"> </w:t>
            </w:r>
          </w:p>
        </w:tc>
        <w:tc>
          <w:tcPr>
            <w:tcW w:w="5040" w:type="dxa"/>
            <w:tcBorders>
              <w:top w:val="single" w:sz="2" w:space="0" w:color="D0D0D0"/>
              <w:left w:val="single" w:sz="2" w:space="0" w:color="D0D0D0"/>
              <w:bottom w:val="single" w:sz="2" w:space="0" w:color="D0D0D0"/>
              <w:right w:val="single" w:sz="2" w:space="0" w:color="D0D0D0"/>
            </w:tcBorders>
            <w:shd w:val="clear" w:color="auto" w:fill="FFFFFF"/>
            <w:tcMar>
              <w:top w:w="80" w:type="dxa"/>
              <w:left w:w="120" w:type="dxa"/>
              <w:bottom w:w="80" w:type="dxa"/>
              <w:right w:w="120" w:type="dxa"/>
            </w:tcMar>
            <w:vAlign w:val="center"/>
          </w:tcPr>
          <w:p w14:paraId="73750E3D" w14:textId="77777777" w:rsidR="00DB41C4" w:rsidRDefault="00000000">
            <w:r>
              <w:rPr>
                <w:sz w:val="20"/>
                <w:szCs w:val="20"/>
              </w:rPr>
              <w:t xml:space="preserve"> </w:t>
            </w:r>
          </w:p>
        </w:tc>
      </w:tr>
    </w:tbl>
    <w:p w14:paraId="3FC75304" w14:textId="77777777" w:rsidR="00DB41C4" w:rsidRDefault="00DB41C4">
      <w:pPr>
        <w:pBdr>
          <w:top w:val="single" w:sz="4" w:space="0" w:color="D0D0D0"/>
        </w:pBdr>
        <w:spacing w:before="500"/>
      </w:pPr>
    </w:p>
    <w:p w14:paraId="38840013" w14:textId="77777777" w:rsidR="00526AF3" w:rsidRDefault="00526AF3">
      <w:pPr>
        <w:spacing w:before="160"/>
        <w:rPr>
          <w:color w:val="555555"/>
          <w:sz w:val="20"/>
          <w:szCs w:val="20"/>
        </w:rPr>
      </w:pPr>
    </w:p>
    <w:p w14:paraId="168884BC" w14:textId="77777777" w:rsidR="00526AF3" w:rsidRDefault="00526AF3">
      <w:pPr>
        <w:spacing w:before="160"/>
        <w:rPr>
          <w:color w:val="555555"/>
          <w:sz w:val="20"/>
          <w:szCs w:val="20"/>
        </w:rPr>
      </w:pPr>
    </w:p>
    <w:p w14:paraId="685C7E18" w14:textId="77777777" w:rsidR="00526AF3" w:rsidRDefault="00526AF3">
      <w:pPr>
        <w:spacing w:before="160"/>
        <w:rPr>
          <w:color w:val="555555"/>
          <w:sz w:val="20"/>
          <w:szCs w:val="20"/>
        </w:rPr>
      </w:pPr>
    </w:p>
    <w:p w14:paraId="21E25B9E" w14:textId="77777777" w:rsidR="00526AF3" w:rsidRDefault="00526AF3">
      <w:pPr>
        <w:spacing w:before="160"/>
        <w:rPr>
          <w:color w:val="555555"/>
          <w:sz w:val="20"/>
          <w:szCs w:val="20"/>
        </w:rPr>
      </w:pPr>
    </w:p>
    <w:p w14:paraId="5CC89066" w14:textId="3F5E5B53" w:rsidR="00DB41C4" w:rsidRDefault="00000000">
      <w:pPr>
        <w:spacing w:before="160"/>
      </w:pPr>
      <w:r>
        <w:rPr>
          <w:color w:val="555555"/>
          <w:sz w:val="20"/>
          <w:szCs w:val="20"/>
        </w:rPr>
        <w:t xml:space="preserve">Want help turning this into a finished, board-ready AI governance policy? </w:t>
      </w:r>
      <w:proofErr w:type="spellStart"/>
      <w:r>
        <w:rPr>
          <w:color w:val="555555"/>
          <w:sz w:val="20"/>
          <w:szCs w:val="20"/>
        </w:rPr>
        <w:t>GrayPoint</w:t>
      </w:r>
      <w:proofErr w:type="spellEnd"/>
      <w:r>
        <w:rPr>
          <w:color w:val="555555"/>
          <w:sz w:val="20"/>
          <w:szCs w:val="20"/>
        </w:rPr>
        <w:t xml:space="preserve"> Technology provides </w:t>
      </w:r>
      <w:proofErr w:type="spellStart"/>
      <w:r>
        <w:rPr>
          <w:color w:val="555555"/>
          <w:sz w:val="20"/>
          <w:szCs w:val="20"/>
        </w:rPr>
        <w:t>vCIO</w:t>
      </w:r>
      <w:proofErr w:type="spellEnd"/>
      <w:r>
        <w:rPr>
          <w:color w:val="555555"/>
          <w:sz w:val="20"/>
          <w:szCs w:val="20"/>
        </w:rPr>
        <w:t>/</w:t>
      </w:r>
      <w:proofErr w:type="spellStart"/>
      <w:r>
        <w:rPr>
          <w:color w:val="555555"/>
          <w:sz w:val="20"/>
          <w:szCs w:val="20"/>
        </w:rPr>
        <w:t>vCISO</w:t>
      </w:r>
      <w:proofErr w:type="spellEnd"/>
      <w:r>
        <w:rPr>
          <w:color w:val="555555"/>
          <w:sz w:val="20"/>
          <w:szCs w:val="20"/>
        </w:rPr>
        <w:t xml:space="preserve"> advisory to build and operationalize AI, data, and security policy for executive teams. </w:t>
      </w:r>
      <w:hyperlink r:id="rId8" w:history="1">
        <w:r>
          <w:rPr>
            <w:rStyle w:val="Hyperlink"/>
            <w:sz w:val="20"/>
            <w:szCs w:val="20"/>
          </w:rPr>
          <w:t>Schedule a consultation at graypointtech.com</w:t>
        </w:r>
      </w:hyperlink>
      <w:r>
        <w:rPr>
          <w:color w:val="555555"/>
          <w:sz w:val="20"/>
          <w:szCs w:val="20"/>
        </w:rPr>
        <w:t>.</w:t>
      </w:r>
    </w:p>
    <w:sectPr w:rsidR="00DB41C4">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8E5C66" w14:textId="77777777" w:rsidR="00B41B6C" w:rsidRDefault="00B41B6C">
      <w:r>
        <w:separator/>
      </w:r>
    </w:p>
  </w:endnote>
  <w:endnote w:type="continuationSeparator" w:id="0">
    <w:p w14:paraId="6809512D" w14:textId="77777777" w:rsidR="00B41B6C" w:rsidRDefault="00B4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15C1CB" w14:textId="77777777" w:rsidR="00DB41C4" w:rsidRDefault="00000000">
    <w:pPr>
      <w:pBdr>
        <w:top w:val="single" w:sz="4" w:space="0" w:color="D0D0D0"/>
      </w:pBdr>
      <w:spacing w:before="60"/>
      <w:jc w:val="center"/>
    </w:pPr>
    <w:r>
      <w:rPr>
        <w:color w:val="7A7A7A"/>
        <w:sz w:val="14"/>
        <w:szCs w:val="14"/>
      </w:rPr>
      <w:t xml:space="preserve">© 2026 </w:t>
    </w:r>
    <w:proofErr w:type="spellStart"/>
    <w:r>
      <w:rPr>
        <w:color w:val="7A7A7A"/>
        <w:sz w:val="14"/>
        <w:szCs w:val="14"/>
      </w:rPr>
      <w:t>GrayPoint</w:t>
    </w:r>
    <w:proofErr w:type="spellEnd"/>
    <w:r>
      <w:rPr>
        <w:color w:val="7A7A7A"/>
        <w:sz w:val="14"/>
        <w:szCs w:val="14"/>
      </w:rPr>
      <w:t xml:space="preserve"> </w:t>
    </w:r>
    <w:proofErr w:type="gramStart"/>
    <w:r>
      <w:rPr>
        <w:color w:val="7A7A7A"/>
        <w:sz w:val="14"/>
        <w:szCs w:val="14"/>
      </w:rPr>
      <w:t>Technology  ·</w:t>
    </w:r>
    <w:proofErr w:type="gramEnd"/>
    <w:r>
      <w:rPr>
        <w:color w:val="7A7A7A"/>
        <w:sz w:val="14"/>
        <w:szCs w:val="14"/>
      </w:rPr>
      <w:t xml:space="preserve">  </w:t>
    </w:r>
    <w:hyperlink r:id="rId1" w:history="1">
      <w:r>
        <w:rPr>
          <w:rStyle w:val="Hyperlink"/>
          <w:sz w:val="14"/>
          <w:szCs w:val="14"/>
        </w:rPr>
        <w:t>graypointtech.com</w:t>
      </w:r>
    </w:hyperlink>
    <w:r>
      <w:rPr>
        <w:color w:val="7A7A7A"/>
        <w:sz w:val="14"/>
        <w:szCs w:val="14"/>
      </w:rPr>
      <w:t xml:space="preserve">  ·  Brian@graypointtech.com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09BD49" w14:textId="77777777" w:rsidR="00B41B6C" w:rsidRDefault="00B41B6C">
      <w:r>
        <w:separator/>
      </w:r>
    </w:p>
  </w:footnote>
  <w:footnote w:type="continuationSeparator" w:id="0">
    <w:p w14:paraId="40E96218" w14:textId="77777777" w:rsidR="00B41B6C" w:rsidRDefault="00B41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
      <w:gridCol w:w="9740"/>
    </w:tblGrid>
    <w:tr w:rsidR="00DB41C4" w14:paraId="2D144C51" w14:textId="77777777">
      <w:tblPrEx>
        <w:tblCellMar>
          <w:top w:w="0" w:type="dxa"/>
          <w:bottom w:w="0" w:type="dxa"/>
        </w:tblCellMar>
      </w:tblPrEx>
      <w:trPr>
        <w:cantSplit/>
      </w:trPr>
      <w:tc>
        <w:tcPr>
          <w:tcW w:w="340" w:type="dxa"/>
          <w:tcBorders>
            <w:top w:val="none" w:sz="0" w:space="0" w:color="FFFFFF"/>
            <w:left w:val="none" w:sz="0" w:space="0" w:color="FFFFFF"/>
            <w:bottom w:val="single" w:sz="6" w:space="0" w:color="4CAF24"/>
            <w:right w:val="none" w:sz="0" w:space="0" w:color="FFFFFF"/>
          </w:tcBorders>
          <w:tcMar>
            <w:top w:w="0" w:type="dxa"/>
            <w:left w:w="0" w:type="dxa"/>
            <w:bottom w:w="40" w:type="dxa"/>
            <w:right w:w="0" w:type="dxa"/>
          </w:tcMar>
          <w:vAlign w:val="center"/>
        </w:tcPr>
        <w:p w14:paraId="4ED10F82" w14:textId="77777777" w:rsidR="00DB41C4" w:rsidRDefault="00000000">
          <w:r>
            <w:rPr>
              <w:noProof/>
            </w:rPr>
            <w:drawing>
              <wp:inline distT="0" distB="0" distL="0" distR="0" wp14:anchorId="45A7DA2F" wp14:editId="536A0FA5">
                <wp:extent cx="152400" cy="152400"/>
                <wp:effectExtent l="0" t="0" r="0" b="0"/>
                <wp:docPr id="608410912" name="logo-mark" descr="GrayPoint Technology compass logo mark" title="GrayPoint Technolog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2400" cy="152400"/>
                        </a:xfrm>
                        <a:prstGeom prst="rect">
                          <a:avLst/>
                        </a:prstGeom>
                      </pic:spPr>
                    </pic:pic>
                  </a:graphicData>
                </a:graphic>
              </wp:inline>
            </w:drawing>
          </w:r>
        </w:p>
      </w:tc>
      <w:tc>
        <w:tcPr>
          <w:tcW w:w="9740" w:type="dxa"/>
          <w:tcBorders>
            <w:top w:val="none" w:sz="0" w:space="0" w:color="FFFFFF"/>
            <w:left w:val="none" w:sz="0" w:space="0" w:color="FFFFFF"/>
            <w:bottom w:val="single" w:sz="6" w:space="0" w:color="4CAF24"/>
            <w:right w:val="none" w:sz="0" w:space="0" w:color="FFFFFF"/>
          </w:tcBorders>
          <w:tcMar>
            <w:top w:w="0" w:type="dxa"/>
            <w:left w:w="0" w:type="dxa"/>
            <w:bottom w:w="40" w:type="dxa"/>
            <w:right w:w="0" w:type="dxa"/>
          </w:tcMar>
          <w:vAlign w:val="center"/>
        </w:tcPr>
        <w:p w14:paraId="454CC452" w14:textId="77777777" w:rsidR="00DB41C4" w:rsidRDefault="00000000">
          <w:proofErr w:type="spellStart"/>
          <w:r>
            <w:rPr>
              <w:b/>
              <w:bCs/>
              <w:sz w:val="16"/>
              <w:szCs w:val="16"/>
            </w:rPr>
            <w:t>Gray</w:t>
          </w:r>
          <w:r>
            <w:rPr>
              <w:b/>
              <w:bCs/>
              <w:color w:val="3A8A1B"/>
              <w:sz w:val="16"/>
              <w:szCs w:val="16"/>
            </w:rPr>
            <w:t>Point</w:t>
          </w:r>
          <w:proofErr w:type="spellEnd"/>
          <w:r>
            <w:rPr>
              <w:color w:val="7A7A7A"/>
              <w:sz w:val="14"/>
              <w:szCs w:val="14"/>
            </w:rPr>
            <w:t xml:space="preserve"> TECHNOLOGY   |   AI Vision &amp; Ethics Policy Template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51E40"/>
    <w:multiLevelType w:val="hybridMultilevel"/>
    <w:tmpl w:val="786C382E"/>
    <w:lvl w:ilvl="0" w:tplc="C65C6368">
      <w:start w:val="1"/>
      <w:numFmt w:val="decimal"/>
      <w:lvlText w:val="%1."/>
      <w:lvlJc w:val="left"/>
      <w:pPr>
        <w:ind w:left="520" w:hanging="260"/>
      </w:pPr>
    </w:lvl>
    <w:lvl w:ilvl="1" w:tplc="FFA4DC1E">
      <w:numFmt w:val="decimal"/>
      <w:lvlText w:val=""/>
      <w:lvlJc w:val="left"/>
    </w:lvl>
    <w:lvl w:ilvl="2" w:tplc="0D966F36">
      <w:numFmt w:val="decimal"/>
      <w:lvlText w:val=""/>
      <w:lvlJc w:val="left"/>
    </w:lvl>
    <w:lvl w:ilvl="3" w:tplc="E40E9E7E">
      <w:numFmt w:val="decimal"/>
      <w:lvlText w:val=""/>
      <w:lvlJc w:val="left"/>
    </w:lvl>
    <w:lvl w:ilvl="4" w:tplc="F968C34E">
      <w:numFmt w:val="decimal"/>
      <w:lvlText w:val=""/>
      <w:lvlJc w:val="left"/>
    </w:lvl>
    <w:lvl w:ilvl="5" w:tplc="0976513C">
      <w:numFmt w:val="decimal"/>
      <w:lvlText w:val=""/>
      <w:lvlJc w:val="left"/>
    </w:lvl>
    <w:lvl w:ilvl="6" w:tplc="CC8EDEFA">
      <w:numFmt w:val="decimal"/>
      <w:lvlText w:val=""/>
      <w:lvlJc w:val="left"/>
    </w:lvl>
    <w:lvl w:ilvl="7" w:tplc="C1903F5C">
      <w:numFmt w:val="decimal"/>
      <w:lvlText w:val=""/>
      <w:lvlJc w:val="left"/>
    </w:lvl>
    <w:lvl w:ilvl="8" w:tplc="3612BCA6">
      <w:numFmt w:val="decimal"/>
      <w:lvlText w:val=""/>
      <w:lvlJc w:val="left"/>
    </w:lvl>
  </w:abstractNum>
  <w:abstractNum w:abstractNumId="1" w15:restartNumberingAfterBreak="0">
    <w:nsid w:val="1ABD714A"/>
    <w:multiLevelType w:val="hybridMultilevel"/>
    <w:tmpl w:val="F7C62E24"/>
    <w:lvl w:ilvl="0" w:tplc="7ACEA384">
      <w:start w:val="1"/>
      <w:numFmt w:val="bullet"/>
      <w:lvlText w:val="☐"/>
      <w:lvlJc w:val="left"/>
      <w:pPr>
        <w:ind w:left="520" w:hanging="260"/>
      </w:pPr>
    </w:lvl>
    <w:lvl w:ilvl="1" w:tplc="A03A3D94">
      <w:numFmt w:val="decimal"/>
      <w:lvlText w:val=""/>
      <w:lvlJc w:val="left"/>
    </w:lvl>
    <w:lvl w:ilvl="2" w:tplc="E7C88230">
      <w:numFmt w:val="decimal"/>
      <w:lvlText w:val=""/>
      <w:lvlJc w:val="left"/>
    </w:lvl>
    <w:lvl w:ilvl="3" w:tplc="D00870E0">
      <w:numFmt w:val="decimal"/>
      <w:lvlText w:val=""/>
      <w:lvlJc w:val="left"/>
    </w:lvl>
    <w:lvl w:ilvl="4" w:tplc="C59690F6">
      <w:numFmt w:val="decimal"/>
      <w:lvlText w:val=""/>
      <w:lvlJc w:val="left"/>
    </w:lvl>
    <w:lvl w:ilvl="5" w:tplc="8FAC4482">
      <w:numFmt w:val="decimal"/>
      <w:lvlText w:val=""/>
      <w:lvlJc w:val="left"/>
    </w:lvl>
    <w:lvl w:ilvl="6" w:tplc="B3A662FA">
      <w:numFmt w:val="decimal"/>
      <w:lvlText w:val=""/>
      <w:lvlJc w:val="left"/>
    </w:lvl>
    <w:lvl w:ilvl="7" w:tplc="7C38E3DC">
      <w:numFmt w:val="decimal"/>
      <w:lvlText w:val=""/>
      <w:lvlJc w:val="left"/>
    </w:lvl>
    <w:lvl w:ilvl="8" w:tplc="F11073F2">
      <w:numFmt w:val="decimal"/>
      <w:lvlText w:val=""/>
      <w:lvlJc w:val="left"/>
    </w:lvl>
  </w:abstractNum>
  <w:abstractNum w:abstractNumId="2" w15:restartNumberingAfterBreak="0">
    <w:nsid w:val="2D0A0349"/>
    <w:multiLevelType w:val="hybridMultilevel"/>
    <w:tmpl w:val="8B82927C"/>
    <w:lvl w:ilvl="0" w:tplc="3DDC8284">
      <w:start w:val="1"/>
      <w:numFmt w:val="bullet"/>
      <w:lvlText w:val="•"/>
      <w:lvlJc w:val="left"/>
      <w:pPr>
        <w:ind w:left="520" w:hanging="260"/>
      </w:pPr>
    </w:lvl>
    <w:lvl w:ilvl="1" w:tplc="AAAE51C4">
      <w:numFmt w:val="decimal"/>
      <w:lvlText w:val=""/>
      <w:lvlJc w:val="left"/>
    </w:lvl>
    <w:lvl w:ilvl="2" w:tplc="1D22E95E">
      <w:numFmt w:val="decimal"/>
      <w:lvlText w:val=""/>
      <w:lvlJc w:val="left"/>
    </w:lvl>
    <w:lvl w:ilvl="3" w:tplc="3F42555A">
      <w:numFmt w:val="decimal"/>
      <w:lvlText w:val=""/>
      <w:lvlJc w:val="left"/>
    </w:lvl>
    <w:lvl w:ilvl="4" w:tplc="EEFE1F5C">
      <w:numFmt w:val="decimal"/>
      <w:lvlText w:val=""/>
      <w:lvlJc w:val="left"/>
    </w:lvl>
    <w:lvl w:ilvl="5" w:tplc="533C77C8">
      <w:numFmt w:val="decimal"/>
      <w:lvlText w:val=""/>
      <w:lvlJc w:val="left"/>
    </w:lvl>
    <w:lvl w:ilvl="6" w:tplc="BB0090EC">
      <w:numFmt w:val="decimal"/>
      <w:lvlText w:val=""/>
      <w:lvlJc w:val="left"/>
    </w:lvl>
    <w:lvl w:ilvl="7" w:tplc="487C53FC">
      <w:numFmt w:val="decimal"/>
      <w:lvlText w:val=""/>
      <w:lvlJc w:val="left"/>
    </w:lvl>
    <w:lvl w:ilvl="8" w:tplc="6884E570">
      <w:numFmt w:val="decimal"/>
      <w:lvlText w:val=""/>
      <w:lvlJc w:val="left"/>
    </w:lvl>
  </w:abstractNum>
  <w:abstractNum w:abstractNumId="3" w15:restartNumberingAfterBreak="0">
    <w:nsid w:val="6CBE7EA6"/>
    <w:multiLevelType w:val="hybridMultilevel"/>
    <w:tmpl w:val="1466D200"/>
    <w:lvl w:ilvl="0" w:tplc="DFEAB8AE">
      <w:start w:val="1"/>
      <w:numFmt w:val="bullet"/>
      <w:lvlText w:val="●"/>
      <w:lvlJc w:val="left"/>
      <w:pPr>
        <w:ind w:left="720" w:hanging="360"/>
      </w:pPr>
    </w:lvl>
    <w:lvl w:ilvl="1" w:tplc="6F7A1BAA">
      <w:start w:val="1"/>
      <w:numFmt w:val="bullet"/>
      <w:lvlText w:val="○"/>
      <w:lvlJc w:val="left"/>
      <w:pPr>
        <w:ind w:left="1440" w:hanging="360"/>
      </w:pPr>
    </w:lvl>
    <w:lvl w:ilvl="2" w:tplc="AD9E206C">
      <w:start w:val="1"/>
      <w:numFmt w:val="bullet"/>
      <w:lvlText w:val="■"/>
      <w:lvlJc w:val="left"/>
      <w:pPr>
        <w:ind w:left="2160" w:hanging="360"/>
      </w:pPr>
    </w:lvl>
    <w:lvl w:ilvl="3" w:tplc="1B0E32D6">
      <w:start w:val="1"/>
      <w:numFmt w:val="bullet"/>
      <w:lvlText w:val="●"/>
      <w:lvlJc w:val="left"/>
      <w:pPr>
        <w:ind w:left="2880" w:hanging="360"/>
      </w:pPr>
    </w:lvl>
    <w:lvl w:ilvl="4" w:tplc="A246E15A">
      <w:start w:val="1"/>
      <w:numFmt w:val="bullet"/>
      <w:lvlText w:val="○"/>
      <w:lvlJc w:val="left"/>
      <w:pPr>
        <w:ind w:left="3600" w:hanging="360"/>
      </w:pPr>
    </w:lvl>
    <w:lvl w:ilvl="5" w:tplc="F88485F0">
      <w:start w:val="1"/>
      <w:numFmt w:val="bullet"/>
      <w:lvlText w:val="■"/>
      <w:lvlJc w:val="left"/>
      <w:pPr>
        <w:ind w:left="4320" w:hanging="360"/>
      </w:pPr>
    </w:lvl>
    <w:lvl w:ilvl="6" w:tplc="EBD886D6">
      <w:start w:val="1"/>
      <w:numFmt w:val="bullet"/>
      <w:lvlText w:val="●"/>
      <w:lvlJc w:val="left"/>
      <w:pPr>
        <w:ind w:left="5040" w:hanging="360"/>
      </w:pPr>
    </w:lvl>
    <w:lvl w:ilvl="7" w:tplc="3C3E9116">
      <w:start w:val="1"/>
      <w:numFmt w:val="bullet"/>
      <w:lvlText w:val="●"/>
      <w:lvlJc w:val="left"/>
      <w:pPr>
        <w:ind w:left="5760" w:hanging="360"/>
      </w:pPr>
    </w:lvl>
    <w:lvl w:ilvl="8" w:tplc="85B29E9A">
      <w:start w:val="1"/>
      <w:numFmt w:val="bullet"/>
      <w:lvlText w:val="●"/>
      <w:lvlJc w:val="left"/>
      <w:pPr>
        <w:ind w:left="6480" w:hanging="360"/>
      </w:pPr>
    </w:lvl>
  </w:abstractNum>
  <w:num w:numId="1" w16cid:durableId="839345760">
    <w:abstractNumId w:val="3"/>
    <w:lvlOverride w:ilvl="0">
      <w:startOverride w:val="1"/>
    </w:lvlOverride>
  </w:num>
  <w:num w:numId="2" w16cid:durableId="850143470">
    <w:abstractNumId w:val="2"/>
    <w:lvlOverride w:ilvl="0">
      <w:startOverride w:val="1"/>
    </w:lvlOverride>
  </w:num>
  <w:num w:numId="3" w16cid:durableId="58407168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1C4"/>
    <w:rsid w:val="004C015D"/>
    <w:rsid w:val="00526AF3"/>
    <w:rsid w:val="00840396"/>
    <w:rsid w:val="00B41B6C"/>
    <w:rsid w:val="00DB4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F32D36"/>
  <w15:docId w15:val="{7A440B59-23DF-D44B-8A5A-818ADE76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E1E1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3A8A1B"/>
      <w:sz w:val="30"/>
      <w:szCs w:val="30"/>
    </w:rPr>
  </w:style>
  <w:style w:type="paragraph" w:styleId="Heading2">
    <w:name w:val="heading 2"/>
    <w:uiPriority w:val="9"/>
    <w:unhideWhenUsed/>
    <w:qFormat/>
    <w:pPr>
      <w:spacing w:before="200" w:after="100"/>
      <w:outlineLvl w:val="1"/>
    </w:pPr>
    <w:rPr>
      <w:b/>
      <w:bCs/>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raypointtech.com/contact.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graypointte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6179</Characters>
  <Application>Microsoft Office Word</Application>
  <DocSecurity>0</DocSecurity>
  <Lines>51</Lines>
  <Paragraphs>14</Paragraphs>
  <ScaleCrop>false</ScaleCrop>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Brian Gray</cp:lastModifiedBy>
  <cp:revision>2</cp:revision>
  <dcterms:created xsi:type="dcterms:W3CDTF">2026-09-01T15:25:00Z</dcterms:created>
  <dcterms:modified xsi:type="dcterms:W3CDTF">2026-09-01T15:25:00Z</dcterms:modified>
</cp:coreProperties>
</file>